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677929b014a37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27054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DUBRAVICA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401.875,94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706.833,77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175,9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305.053,32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534.489,10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175,2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96.822,62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172.344,67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178,0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8.606,00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2.609,85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219.995,23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263.173,36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211.389,23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260.563,51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123,3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14.520,69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92.479,31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4.260,47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
Prihodi i primitci poslovanja u razdoblju od 1. siječnja do 30. lipnja 2025.g. iznose 709.443,62 €.  Ukupni rashodi iznose 797.662,46 € od čega rashodi poslovanja 534.489,10 € te rashodi za nabavu nefinancijske imovine 263.173,36 €. Na kraju izvještajnog razdoblja evidentiran je višak tekućeg razdoblja u iznosu od 4.260,47 €. Višak prihoda odnosi se na prihode od prodaje nefinancijske imovine, dijela vlastitih prihoda i primitaka od zaduživanja.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 na dohodak od nesamostalnog rada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274.393,14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356.824,21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poreza na dohodak od nesamostalnog rada ostvareni su 130% veći u odnosu na izvještajno razdoblje prethodne godine iz razloga što nije napravljena preraspodjela poreznih prihoda temeljem izvještaja Fine.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35.331,42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79.768,11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225,8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rashodi za zaposlene povećani su iz razloga što se povećao broj zaposlenih odnosno načelnik više nije u funkciji volontera već je zaposlenik Općine.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za pokriće u sljedećem razdoblju (šifre Y005 + '9222-9221' - X005 - '9221-9222' 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255.939,30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286.193,63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Rezultat poslovanja izvještajnog razdoblja evidentiran je višak  u iznosu od 4.260,47 eur koji se odnosi na prihode od prodaje nefinancijske imovine u iznosu 2.609,85 eur, dijela vlastitih prihoda u iznosu od 528,69 eura, te na prihode od zaduživanja (kratkoročna pozajmica) u iznosu od 1.121,93 eur.
Preneseni manjak prihoda iz prethodnih godina u iznosu od 290.454,10 eur umanjen je za višak obračunskog razdoblja, tako da manjak poslovanja u izvještajnom razdoblju tj. ukupni rezultat iznosi manjak u iznosu od 286.193,63 eur.
Manjak se odnosi na opće prihode i primitke -34.529,76 eur, prihode od posebnih namjena -11.564,60 eur,  prihode od pomoći -49.828,71 eur.
Manjak je nastao zbog znatnog povrata poreza, kao i nastalih troškova pri izradi idejnih i glavnih projekata koji su aplicirani na sredstva EU kao i na sufinanciranje i financiranja iz proračuna RH i Zagrebačke županije.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65.020,40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u iznosu 65.020,40 eur nisu podmirene zbog nedostatka financijskih sredstava, te zbog čekanja priljeva temeljem predanih ZNS-ova za izvršene radove na određenim EU projektima.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deb64f7954929" /></Relationships>
</file>